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color w:val="000000"/>
          <w:sz w:val="32"/>
          <w:szCs w:val="32"/>
        </w:rPr>
        <w:t>2</w:t>
      </w:r>
    </w:p>
    <w:p>
      <w:pPr>
        <w:ind w:firstLine="600"/>
        <w:rPr>
          <w:rFonts w:ascii="Times New Roman" w:hAnsi="Times New Roman"/>
          <w:sz w:val="30"/>
          <w:szCs w:val="30"/>
        </w:rPr>
      </w:pPr>
    </w:p>
    <w:p>
      <w:pPr>
        <w:ind w:firstLine="600"/>
        <w:rPr>
          <w:rFonts w:ascii="Times New Roman" w:hAnsi="Times New Roman"/>
          <w:sz w:val="30"/>
          <w:szCs w:val="30"/>
        </w:rPr>
      </w:pPr>
    </w:p>
    <w:p>
      <w:pPr>
        <w:ind w:firstLine="600"/>
        <w:rPr>
          <w:rFonts w:ascii="Times New Roman" w:hAnsi="Times New Roman"/>
          <w:sz w:val="30"/>
          <w:szCs w:val="30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方正小标宋简体"/>
          <w:sz w:val="44"/>
          <w:szCs w:val="44"/>
        </w:rPr>
      </w:pPr>
      <w:r>
        <w:rPr>
          <w:rFonts w:ascii="Times New Roman" w:hAnsi="Times New Roman" w:eastAsia="方正小标宋_GBK" w:cs="方正小标宋简体"/>
          <w:sz w:val="44"/>
          <w:szCs w:val="44"/>
        </w:rPr>
        <w:t>绿色矿山自评估报告</w:t>
      </w:r>
    </w:p>
    <w:p>
      <w:pPr>
        <w:jc w:val="center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仿宋_GB2312" w:eastAsia="仿宋_GB2312" w:cs="仿宋_GB2312"/>
          <w:sz w:val="28"/>
          <w:szCs w:val="28"/>
        </w:rPr>
        <w:t>（参考格式）</w:t>
      </w:r>
    </w:p>
    <w:p>
      <w:pPr>
        <w:ind w:firstLine="600"/>
        <w:jc w:val="center"/>
        <w:rPr>
          <w:rFonts w:ascii="Times New Roman" w:hAnsi="Times New Roman"/>
          <w:sz w:val="30"/>
          <w:szCs w:val="30"/>
        </w:rPr>
      </w:pPr>
    </w:p>
    <w:p>
      <w:pPr>
        <w:ind w:firstLine="600"/>
        <w:jc w:val="center"/>
        <w:rPr>
          <w:rFonts w:ascii="Times New Roman" w:hAnsi="Times New Roman"/>
          <w:sz w:val="30"/>
          <w:szCs w:val="30"/>
        </w:rPr>
      </w:pPr>
    </w:p>
    <w:p>
      <w:pPr>
        <w:ind w:firstLine="600"/>
        <w:jc w:val="center"/>
        <w:rPr>
          <w:rFonts w:ascii="Times New Roman" w:hAnsi="Times New Roman"/>
          <w:sz w:val="30"/>
          <w:szCs w:val="30"/>
        </w:rPr>
      </w:pPr>
    </w:p>
    <w:p>
      <w:pPr>
        <w:ind w:firstLine="600"/>
        <w:jc w:val="center"/>
        <w:rPr>
          <w:rFonts w:ascii="Times New Roman" w:hAnsi="Times New Roman"/>
          <w:sz w:val="30"/>
          <w:szCs w:val="30"/>
        </w:rPr>
      </w:pPr>
    </w:p>
    <w:p>
      <w:pPr>
        <w:ind w:firstLine="600"/>
        <w:jc w:val="center"/>
        <w:rPr>
          <w:rFonts w:ascii="Times New Roman" w:hAnsi="Times New Roman"/>
          <w:sz w:val="30"/>
          <w:szCs w:val="30"/>
        </w:rPr>
      </w:pPr>
    </w:p>
    <w:p>
      <w:pPr>
        <w:ind w:firstLine="600"/>
        <w:jc w:val="center"/>
        <w:rPr>
          <w:rFonts w:ascii="Times New Roman" w:hAnsi="Times New Roman"/>
          <w:sz w:val="30"/>
          <w:szCs w:val="30"/>
        </w:rPr>
      </w:pPr>
    </w:p>
    <w:p>
      <w:pPr>
        <w:ind w:firstLine="600"/>
        <w:jc w:val="center"/>
        <w:rPr>
          <w:rFonts w:ascii="Times New Roman" w:hAnsi="Times New Roman"/>
          <w:sz w:val="30"/>
          <w:szCs w:val="30"/>
        </w:rPr>
      </w:pPr>
    </w:p>
    <w:p>
      <w:pPr>
        <w:spacing w:line="360" w:lineRule="auto"/>
        <w:ind w:left="420" w:leftChars="200" w:firstLine="800" w:firstLineChars="2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sz w:val="32"/>
          <w:szCs w:val="32"/>
        </w:rPr>
        <w:t>矿山名称</w:t>
      </w:r>
      <w:r>
        <w:rPr>
          <w:rFonts w:hint="eastAsia" w:ascii="Times New Roman" w:hAnsi="仿宋_GB2312" w:eastAsia="仿宋_GB2312" w:cs="仿宋_GB2312"/>
          <w:bCs/>
          <w:sz w:val="32"/>
          <w:szCs w:val="32"/>
        </w:rPr>
        <w:t>（盖章）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>
      <w:pPr>
        <w:spacing w:line="360" w:lineRule="auto"/>
        <w:ind w:left="420" w:leftChars="200"/>
        <w:rPr>
          <w:rFonts w:ascii="Times New Roman" w:hAnsi="Times New Roman" w:eastAsia="仿宋_GB2312"/>
          <w:sz w:val="32"/>
          <w:szCs w:val="32"/>
          <w:u w:val="single"/>
        </w:rPr>
      </w:pPr>
    </w:p>
    <w:p>
      <w:pPr>
        <w:spacing w:line="360" w:lineRule="auto"/>
        <w:ind w:left="420" w:leftChars="200" w:firstLine="800" w:firstLineChars="2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Times New Roman" w:hAnsi="仿宋_GB2312" w:eastAsia="仿宋_GB2312" w:cs="仿宋_GB2312"/>
          <w:bCs/>
          <w:sz w:val="32"/>
          <w:szCs w:val="32"/>
        </w:rPr>
        <w:t>所在省（区、市）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          </w:t>
      </w:r>
    </w:p>
    <w:p>
      <w:pPr>
        <w:jc w:val="center"/>
        <w:rPr>
          <w:rFonts w:hint="eastAsia" w:ascii="Times New Roman" w:hAnsi="Times New Roman"/>
          <w:sz w:val="30"/>
          <w:szCs w:val="30"/>
        </w:rPr>
      </w:pPr>
    </w:p>
    <w:p>
      <w:pPr>
        <w:jc w:val="center"/>
        <w:rPr>
          <w:rFonts w:hint="eastAsia" w:ascii="Times New Roman" w:hAnsi="Times New Roman"/>
          <w:sz w:val="30"/>
          <w:szCs w:val="30"/>
        </w:rPr>
      </w:pPr>
    </w:p>
    <w:p>
      <w:pPr>
        <w:jc w:val="center"/>
        <w:rPr>
          <w:rFonts w:hint="eastAsia" w:ascii="Times New Roman" w:hAnsi="Times New Roman"/>
          <w:sz w:val="30"/>
          <w:szCs w:val="30"/>
        </w:rPr>
      </w:pPr>
    </w:p>
    <w:p>
      <w:pPr>
        <w:jc w:val="center"/>
        <w:rPr>
          <w:rFonts w:hint="eastAsia" w:ascii="Times New Roman" w:hAnsi="Times New Roman" w:eastAsia="仿宋_GB2312" w:cs="仿宋_GB2312"/>
          <w:sz w:val="30"/>
        </w:rPr>
      </w:pPr>
      <w:r>
        <w:rPr>
          <w:rFonts w:hint="eastAsia" w:ascii="Times New Roman" w:hAnsi="Times New Roman" w:eastAsia="仿宋_GB2312" w:cs="仿宋_GB2312"/>
          <w:sz w:val="30"/>
        </w:rPr>
        <w:t xml:space="preserve">20    </w:t>
      </w:r>
      <w:r>
        <w:rPr>
          <w:rFonts w:hint="eastAsia" w:ascii="Times New Roman" w:hAnsi="仿宋_GB2312" w:eastAsia="仿宋_GB2312" w:cs="仿宋_GB2312"/>
          <w:sz w:val="30"/>
        </w:rPr>
        <w:t>年</w:t>
      </w:r>
      <w:r>
        <w:rPr>
          <w:rFonts w:hint="eastAsia" w:ascii="Times New Roman" w:hAnsi="Times New Roman" w:eastAsia="仿宋_GB2312" w:cs="仿宋_GB2312"/>
          <w:sz w:val="30"/>
        </w:rPr>
        <w:t xml:space="preserve">    </w:t>
      </w:r>
      <w:r>
        <w:rPr>
          <w:rFonts w:hint="eastAsia" w:ascii="Times New Roman" w:hAnsi="仿宋_GB2312" w:eastAsia="仿宋_GB2312" w:cs="仿宋_GB2312"/>
          <w:sz w:val="30"/>
        </w:rPr>
        <w:t>月</w:t>
      </w:r>
      <w:r>
        <w:rPr>
          <w:rFonts w:hint="eastAsia" w:ascii="Times New Roman" w:hAnsi="Times New Roman" w:eastAsia="仿宋_GB2312" w:cs="仿宋_GB2312"/>
          <w:sz w:val="30"/>
        </w:rPr>
        <w:t xml:space="preserve">    </w:t>
      </w:r>
      <w:r>
        <w:rPr>
          <w:rFonts w:hint="eastAsia" w:ascii="Times New Roman" w:hAnsi="仿宋_GB2312" w:eastAsia="仿宋_GB2312" w:cs="仿宋_GB2312"/>
          <w:sz w:val="30"/>
        </w:rPr>
        <w:t>日</w:t>
      </w:r>
    </w:p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</w:rPr>
      </w:pPr>
    </w:p>
    <w:p>
      <w:pPr>
        <w:wordWrap w:val="0"/>
        <w:ind w:firstLine="640" w:firstLineChars="200"/>
        <w:jc w:val="left"/>
        <w:rPr>
          <w:rFonts w:hint="eastAsia" w:ascii="Times New Roman" w:hAnsi="Times New Roman" w:eastAsia="黑体" w:cs="黑体"/>
          <w:color w:val="000000"/>
          <w:sz w:val="32"/>
          <w:szCs w:val="32"/>
        </w:rPr>
      </w:pPr>
    </w:p>
    <w:p>
      <w:pPr>
        <w:wordWrap w:val="0"/>
        <w:ind w:firstLine="640" w:firstLineChars="200"/>
        <w:jc w:val="left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sz w:val="32"/>
          <w:szCs w:val="32"/>
        </w:rPr>
        <w:t>一、矿山简介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介绍矿山基本情况。</w:t>
      </w:r>
    </w:p>
    <w:p>
      <w:pPr>
        <w:wordWrap w:val="0"/>
        <w:ind w:firstLine="640" w:firstLineChars="200"/>
        <w:jc w:val="left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sz w:val="32"/>
          <w:szCs w:val="32"/>
        </w:rPr>
        <w:t>二、对标自评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围绕绿色矿山建设要求及行业标准开展自评，从矿区环境、资源开发方式、资源综合利用、节能减排、科技创新与数字化矿山、企业管理与企业形象等方面评价绿色矿山建设情况。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 xml:space="preserve"> </w:t>
      </w:r>
    </w:p>
    <w:p>
      <w:pPr>
        <w:wordWrap w:val="0"/>
        <w:ind w:firstLine="640" w:firstLineChars="200"/>
        <w:jc w:val="left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sz w:val="32"/>
          <w:szCs w:val="32"/>
        </w:rPr>
        <w:t>三、自评结论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明确是否达到绿色矿山建设要求及行业标准。</w:t>
      </w:r>
    </w:p>
    <w:p>
      <w:pPr>
        <w:wordWrap w:val="0"/>
        <w:ind w:firstLine="640" w:firstLineChars="200"/>
        <w:jc w:val="left"/>
        <w:rPr>
          <w:rFonts w:hint="eastAsia" w:ascii="Times New Roman" w:hAnsi="Times New Roman" w:eastAsia="黑体" w:cs="黑体"/>
          <w:color w:val="000000"/>
          <w:sz w:val="32"/>
          <w:szCs w:val="32"/>
        </w:rPr>
      </w:pPr>
      <w:r>
        <w:rPr>
          <w:rFonts w:hint="eastAsia" w:ascii="Times New Roman" w:hAnsi="黑体" w:eastAsia="黑体" w:cs="黑体"/>
          <w:color w:val="000000"/>
          <w:sz w:val="32"/>
          <w:szCs w:val="32"/>
        </w:rPr>
        <w:t>四、相关材料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列出相关证照、重要管理制度、获奖证书、有关认定证书等材料目录，并附相关材料复印件加盖公章。</w:t>
      </w:r>
    </w:p>
    <w:p>
      <w:pPr>
        <w:spacing w:line="360" w:lineRule="auto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仿宋_GB2312" w:eastAsia="仿宋_GB2312" w:cs="仿宋_GB2312"/>
          <w:color w:val="000000"/>
          <w:sz w:val="32"/>
          <w:szCs w:val="32"/>
        </w:rPr>
        <w:t>展现矿山整体面貌的影像或图片资料。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E6FE6"/>
    <w:rsid w:val="1FC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2019-06-10T05:25:00Z</dcterms:created>
  <dc:creator>侯一俊</dc:creator>
  <cp:lastModifiedBy>侯一俊</cp:lastModifiedBy>
  <dcterms:modified xsi:type="dcterms:W3CDTF">2019-06-10T05:25:54Z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